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>
      <w:pPr>
        <w:pStyle w:val="Normal"/>
        <w:jc w:val="center"/>
        <w:rPr>
          <w:b/>
        </w:rPr>
      </w:pPr>
      <w:r>
        <w:rPr>
          <w:b/>
        </w:rPr>
        <w:t>Филологический факультет</w:t>
      </w:r>
    </w:p>
    <w:p>
      <w:pPr>
        <w:pStyle w:val="Normal"/>
        <w:jc w:val="center"/>
        <w:rPr>
          <w:b/>
        </w:rPr>
      </w:pPr>
      <w:r>
        <w:rPr>
          <w:b/>
        </w:rPr>
        <w:t>Кафедра русской филологии и мировой литературы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Силлабус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Весенний семестр 2023-24уч. год</w:t>
      </w:r>
    </w:p>
    <w:p>
      <w:pPr>
        <w:pStyle w:val="Normal"/>
        <w:ind w:right="-426" w:hanging="0"/>
        <w:jc w:val="center"/>
        <w:rPr>
          <w:b/>
        </w:rPr>
      </w:pPr>
      <w:r>
        <w:rPr>
          <w:b/>
        </w:rPr>
        <w:t xml:space="preserve">по образовательной программе </w:t>
      </w:r>
      <w:r>
        <w:rPr>
          <w:b/>
          <w:i/>
          <w:iCs/>
        </w:rPr>
        <w:t>«6B4103 Экономика»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1057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3"/>
        <w:gridCol w:w="1842"/>
        <w:gridCol w:w="2522"/>
        <w:gridCol w:w="2865"/>
        <w:gridCol w:w="1815"/>
      </w:tblGrid>
      <w:tr>
        <w:trPr>
          <w:trHeight w:val="1010" w:hRule="atLeast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11057" w:type="dxa"/>
              <w:jc w:val="left"/>
              <w:tblInd w:w="24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00"/>
            </w:tblPr>
            <w:tblGrid>
              <w:gridCol w:w="1814"/>
              <w:gridCol w:w="2269"/>
              <w:gridCol w:w="992"/>
              <w:gridCol w:w="1133"/>
              <w:gridCol w:w="710"/>
              <w:gridCol w:w="1416"/>
              <w:gridCol w:w="2722"/>
            </w:tblGrid>
            <w:tr>
              <w:trPr>
                <w:trHeight w:val="265" w:hRule="atLeast"/>
              </w:trPr>
              <w:tc>
                <w:tcPr>
                  <w:tcW w:w="18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ID и наименование</w:t>
                  </w:r>
                  <w:r>
                    <w:rPr>
                      <w:b/>
                      <w:sz w:val="20"/>
                      <w:szCs w:val="20"/>
                    </w:rPr>
                    <w:t xml:space="preserve"> дисциплины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Самостоятельная работа обучающегося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(СРС)</w:t>
                  </w:r>
                </w:p>
                <w:p>
                  <w:pPr>
                    <w:pStyle w:val="Normal"/>
                    <w:widowControl w:val="false"/>
                    <w:rPr>
                      <w:bCs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Кол-во </w:t>
                  </w:r>
                  <w:r>
                    <w:rPr>
                      <w:b/>
                      <w:sz w:val="20"/>
                      <w:szCs w:val="20"/>
                      <w:lang w:val="kk-KZ"/>
                    </w:rPr>
                    <w:t>кредитов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Общее</w:t>
                  </w:r>
                </w:p>
                <w:p>
                  <w:pPr>
                    <w:pStyle w:val="Normal"/>
                    <w:widowControl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кол-во кредитов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Самостоятельная работа обучающегося</w:t>
                  </w:r>
                </w:p>
                <w:p>
                  <w:pPr>
                    <w:pStyle w:val="Normal"/>
                    <w:widowControl w:val="false"/>
                    <w:rPr>
                      <w:bCs/>
                      <w:i/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 руководством преподавателя (СРСП)</w:t>
                  </w:r>
                </w:p>
                <w:p>
                  <w:pPr>
                    <w:pStyle w:val="Normal"/>
                    <w:widowControl w:val="false"/>
                    <w:rPr>
                      <w:bCs/>
                      <w:i/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883" w:hRule="atLeast"/>
              </w:trPr>
              <w:tc>
                <w:tcPr>
                  <w:tcW w:w="181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226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Лекции (Л)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Практ. занятия (ПЗ)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Лаб. занятия (ЛЗ)</w:t>
                  </w:r>
                </w:p>
              </w:tc>
              <w:tc>
                <w:tcPr>
                  <w:tcW w:w="141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272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Казахский (русский) язык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ID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83719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3(5)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Академическая информация о курсе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Цикл,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Офлайн / гибридный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Групповое д/з;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Индивидуальное д/з;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Работа по группам на занятии;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Дискуссия;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Проект;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6.Тестирование (еженедельное), 7.контрольная работа, коллоквиум;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8. Проблемные задания и др.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Традиционный письменный</w:t>
            </w:r>
            <w:r>
              <w:rPr>
                <w:sz w:val="20"/>
                <w:szCs w:val="20"/>
                <w:lang w:val="en-US"/>
              </w:rPr>
              <w:t xml:space="preserve"> offline</w:t>
            </w:r>
          </w:p>
        </w:tc>
      </w:tr>
      <w:tr>
        <w:trPr>
          <w:trHeight w:val="214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Зуева Наталья Юрьевна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nataliazueva@rambler.ru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8 707 224 04 06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1057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57"/>
      </w:tblGrid>
      <w:tr>
        <w:trPr>
          <w:trHeight w:val="112" w:hRule="atLeast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Академическая презентация курса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1057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0"/>
        <w:gridCol w:w="4820"/>
        <w:gridCol w:w="4367"/>
      </w:tblGrid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Индикаторы достижения РО (ИД)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Формировать языковую, речевую и коммуникативную компетенции во всех видах речевой деятельности в учебно-профессиональной сфере общения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РО 1. (Когнитивный): Знать</w:t>
            </w:r>
            <w:r>
              <w:rPr>
                <w:sz w:val="22"/>
                <w:szCs w:val="22"/>
              </w:rPr>
              <w:t xml:space="preserve"> приемы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содержательной и языковой компрессии текста как инс</w:t>
              <w:softHyphen/>
              <w:t>трумента повышения качества чтения; жанры вторичного текста и способы реферативного описания исходного текста; правила оформления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отдельных видов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текстового материала,  особенности и жанры устной научной коммуникации; модели и стратегии ведения научного диалога; </w:t>
            </w:r>
            <w:r>
              <w:rPr>
                <w:sz w:val="22"/>
                <w:szCs w:val="22"/>
                <w:lang w:val="kk-KZ"/>
              </w:rPr>
              <w:t xml:space="preserve">формы проведения учебно-научной дискуссии; особенности языка </w:t>
            </w:r>
            <w:r>
              <w:rPr>
                <w:sz w:val="22"/>
                <w:szCs w:val="22"/>
              </w:rPr>
              <w:t xml:space="preserve"> специальности и профессиональной культуры речи.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ИД 1.1. Различает содержательную и языковую компрессию текста и может перечислить приемы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содержательной и языковой компрессии текста. ИД 1.2. Может назвать виды плана. ИД 1.3. Может назвать жанры вторичного текста и способы реферативного описания исходного текста.  ИД 1.4. Знает особенности и жанры устной научной коммуникации. ИД 1.5.Может перечислить модели и стратегии  ведения научного диалога. ИД 1.6. Может назвать </w:t>
            </w:r>
            <w:r>
              <w:rPr>
                <w:sz w:val="22"/>
                <w:szCs w:val="22"/>
                <w:lang w:val="kk-KZ"/>
              </w:rPr>
              <w:t xml:space="preserve">формы проведения учебно-научной дискуссии. ИД 1.7. Понимает особенности языка </w:t>
            </w:r>
            <w:r>
              <w:rPr>
                <w:sz w:val="22"/>
                <w:szCs w:val="22"/>
              </w:rPr>
              <w:t xml:space="preserve"> специальности и профессиональной культуры речи.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РО 2. (Функциональный):</w:t>
            </w:r>
            <w:r>
              <w:rPr>
                <w:sz w:val="22"/>
                <w:szCs w:val="22"/>
              </w:rPr>
              <w:t xml:space="preserve"> Производить компрессию научного текста.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ИД 2.1. Способен определять основную и дополнительную информацию на уровне предложения и текста.  ИД 2.2. Может охарактеризовать дополнительную информацию по содержанию (виды дополнительной информации). ИД 2.3. Способен  произвести компрессию текста в форме плана. ИД 2.4. Может произвести компрессию текста в форме конспекта.</w:t>
            </w:r>
          </w:p>
        </w:tc>
      </w:tr>
      <w:tr>
        <w:trPr>
          <w:trHeight w:val="257" w:hRule="atLeast"/>
        </w:trPr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РО 3. (Функциональный) </w:t>
            </w:r>
            <w:r>
              <w:rPr>
                <w:sz w:val="22"/>
                <w:szCs w:val="22"/>
              </w:rPr>
              <w:t>Описывать исходный текст разными способами с помощью стандартных языковых средств.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ИД 3.1. Способен описать исходный текст с помощью простых предложений.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ИД 3.2. Может описать исходный текст с помощью сложных предложений.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РО 4. (Функциональный)</w:t>
            </w:r>
            <w:r>
              <w:rPr>
                <w:sz w:val="22"/>
                <w:szCs w:val="22"/>
              </w:rPr>
              <w:t xml:space="preserve"> Строить научный диалог по модели, используя различные стратегии развертывания диалога.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ИД 4.1 Способен развернуть научный диалог-расспрос. ИД 4.2 Может инициировать научный диалог-согласие, несогласие,  переспрос, уточнение.</w:t>
            </w:r>
          </w:p>
        </w:tc>
      </w:tr>
      <w:tr>
        <w:trPr/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РО 5. (Системный)</w:t>
            </w:r>
            <w:r>
              <w:rPr>
                <w:sz w:val="22"/>
                <w:szCs w:val="22"/>
              </w:rPr>
              <w:t xml:space="preserve"> Составлять план текста различных видов; составлять конспект текста;  составлять реферат и аннотацию; выступать с сообщением на тему своей специальности;   вести учебно-научную дискуссию на заданную тему.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ИД 5.1 Способен  составить план текста.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ИД 5.2. Может составить конспект текста. ИД 5.3 Способен реферировать и аннотировать исходную информацию из различных источников. ИД 5.4. Может выступать  с сообщением на занятии и на студенческой учебно-научной конференции. ИД 5.5. Способен участвовать в учебно-научной дискуссии на заданную тему.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курс русского языка (осенний семестр)</w:t>
            </w:r>
          </w:p>
        </w:tc>
      </w:tr>
      <w:tr>
        <w:trPr>
          <w:trHeight w:val="28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Применение русского языка в учебно-профессиональной сфере общения для поиска, анализа, интерпретации информации по специальности для осуществления коммуникации в устной и письменной форме.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/>
                <w:bCs/>
                <w:sz w:val="20"/>
                <w:szCs w:val="20"/>
              </w:rPr>
            </w:pPr>
            <w:r>
              <w:rPr>
                <w:rFonts w:eastAsia="" w:eastAsiaTheme="majorEastAsia"/>
                <w:b/>
                <w:bCs/>
                <w:sz w:val="20"/>
                <w:szCs w:val="20"/>
              </w:rPr>
              <w:t>Учебная литература: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/>
                <w:bCs/>
                <w:sz w:val="20"/>
                <w:szCs w:val="20"/>
              </w:rPr>
            </w:pPr>
            <w:r>
              <w:rPr>
                <w:rFonts w:eastAsia="" w:eastAsiaTheme="majorEastAsia"/>
                <w:b/>
                <w:bCs/>
                <w:sz w:val="20"/>
                <w:szCs w:val="20"/>
              </w:rPr>
              <w:t>Доступ</w:t>
            </w:r>
            <w:r>
              <w:rPr>
                <w:rFonts w:eastAsia="" w:eastAsiaTheme="majorEastAsia"/>
                <w:bCs/>
                <w:sz w:val="20"/>
                <w:szCs w:val="20"/>
              </w:rPr>
              <w:t xml:space="preserve"> к ресурсу ЭБС </w:t>
            </w:r>
            <w:r>
              <w:rPr>
                <w:rFonts w:eastAsia="" w:eastAsiaTheme="majorEastAsia"/>
                <w:bCs/>
                <w:sz w:val="20"/>
                <w:szCs w:val="20"/>
                <w:lang w:val="en-US"/>
              </w:rPr>
              <w:t>KazNUread</w:t>
            </w:r>
            <w:r>
              <w:rPr>
                <w:rFonts w:eastAsia="" w:eastAsiaTheme="majorEastAsia"/>
                <w:b/>
                <w:bCs/>
                <w:sz w:val="20"/>
                <w:szCs w:val="20"/>
              </w:rPr>
              <w:t xml:space="preserve"> https://read.kz/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sz w:val="20"/>
                <w:szCs w:val="20"/>
              </w:rPr>
              <w:t>1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sz w:val="20"/>
                <w:szCs w:val="20"/>
              </w:rPr>
              <w:t>2 Зуева Н.Ю. Практическое пособие по развитию навыков научной речи: Учебное пособие для вузов гуманитарного профиля: В 2-х ч. Вводный курс. – Алматы: Казак университетi, 2006. – 136с.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sz w:val="20"/>
                <w:szCs w:val="20"/>
              </w:rPr>
              <w:t>3 Зуева Н.Ю. Практическое пособие по развитию навыков научной речи: Учебное пособие для вузов: В 2-х ч. Основной курс. – Алматы: Қазақ университеті, 2010. –  120 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color w:val="000000"/>
                <w:sz w:val="20"/>
                <w:szCs w:val="20"/>
              </w:rPr>
              <w:t>4 Зуева Н.Ю. Функционально-стилистическое строение языка: Учебное пособие. – Алматы: Казак университетi, 2009. – 118 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/>
                <w:sz w:val="20"/>
                <w:szCs w:val="20"/>
              </w:rPr>
            </w:pPr>
            <w:r>
              <w:rPr>
                <w:rFonts w:eastAsia="" w:eastAsiaTheme="majorEastAsia"/>
                <w:b/>
                <w:sz w:val="20"/>
                <w:szCs w:val="20"/>
              </w:rPr>
              <w:t>Интернет-ресурсы: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sz w:val="20"/>
                <w:szCs w:val="20"/>
              </w:rPr>
              <w:t>Научная электронная библиотека eLIBRARY.RU.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Fonts w:eastAsia="" w:eastAsiaTheme="majorEastAsia"/>
                <w:bCs/>
                <w:sz w:val="20"/>
                <w:szCs w:val="20"/>
              </w:rPr>
            </w:pPr>
            <w:r>
              <w:rPr>
                <w:rFonts w:eastAsia="" w:eastAsiaTheme="majorEastAsia"/>
                <w:bCs/>
                <w:sz w:val="20"/>
                <w:szCs w:val="20"/>
              </w:rPr>
              <w:t>Научная библиотека КазНУ им. аль-Фараби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Style w:val="Strong"/>
                <w:rFonts w:eastAsia="" w:eastAsiaTheme="majorEastAsia"/>
                <w:b w:val="false"/>
                <w:sz w:val="20"/>
                <w:szCs w:val="20"/>
              </w:rPr>
            </w:pPr>
            <w:r>
              <w:rPr>
                <w:rFonts w:eastAsia="" w:eastAsiaTheme="majorEastAsia"/>
                <w:bCs/>
                <w:color w:val="000000"/>
                <w:sz w:val="20"/>
                <w:szCs w:val="20"/>
              </w:rPr>
              <w:t>elib.kaznu.kz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jc w:val="both"/>
              <w:rPr>
                <w:rStyle w:val="Strong"/>
                <w:rFonts w:eastAsia="" w:eastAsiaTheme="majorEastAsia"/>
                <w:b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>Microsoft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 xml:space="preserve"> –для выполнения тестовых заданий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Google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Forms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для создания тестов и опросов (анкетирование), а также анализа и интерпретации  их результатов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Quizlet для создания карточек, проверочных тестов, игр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LearningApps.org – для создания интерактивных модулей (упражнений)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ind w:hanging="103"/>
              <w:rPr>
                <w:sz w:val="20"/>
                <w:szCs w:val="20"/>
              </w:rPr>
            </w:pPr>
            <w:r>
              <w:rPr>
                <w:rFonts w:eastAsia="" w:eastAsiaTheme="majorEastAsia"/>
                <w:bCs/>
                <w:color w:val="000000"/>
                <w:sz w:val="20"/>
                <w:szCs w:val="20"/>
              </w:rPr>
              <w:t>5. мобильное приложение WhatsApp для обмена аудио- и видеосообщениями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632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589"/>
        <w:gridCol w:w="9042"/>
      </w:tblGrid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">
              <w:r>
                <w:rPr>
                  <w:rStyle w:val="-"/>
                  <w:rFonts w:eastAsia="" w:eastAsiaTheme="majorEastAsia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-"/>
                <w:rFonts w:eastAsia="" w:eastAsiaTheme="majorEastAsia"/>
                <w:sz w:val="20"/>
                <w:szCs w:val="20"/>
              </w:rPr>
              <w:t xml:space="preserve"> и </w:t>
            </w:r>
            <w:hyperlink r:id="rId3">
              <w:r>
                <w:rPr>
                  <w:rStyle w:val="-"/>
                  <w:rFonts w:eastAsia="" w:eastAsiaTheme="majorEastAsi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b/>
                <w:sz w:val="20"/>
                <w:szCs w:val="20"/>
              </w:rPr>
              <w:t>Дедлайн</w:t>
            </w:r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дедлайна приводит к потере баллов.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-"/>
                <w:rFonts w:eastAsia="" w:eastAsiaTheme="majorEastAsia"/>
                <w:sz w:val="20"/>
                <w:szCs w:val="20"/>
              </w:rPr>
              <w:t>Академическая честность.</w:t>
            </w:r>
            <w:r>
              <w:rPr>
                <w:rStyle w:val="-"/>
                <w:rFonts w:eastAsia="" w:eastAsiaTheme="majorEastAsia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4">
              <w:r>
                <w:rPr>
                  <w:rStyle w:val="-"/>
                  <w:rFonts w:eastAsia="" w:eastAsiaTheme="majorEastAsia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5">
              <w:r>
                <w:rPr>
                  <w:rStyle w:val="-"/>
                  <w:rFonts w:eastAsia="" w:eastAsiaTheme="majorEastAsi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-"/>
                <w:rFonts w:eastAsia="" w:eastAsiaTheme="majorEastAsia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физического здоровья студента, социально-экономического статуса, религиозных убеждений, этнической, расовой, гендерной принадлежности и др. Все люди нуждаются в поддержке и дружбе ровесников и сокурсников. Для всех студентов достижение прогресса заключается скорее в том, что они могут делать, чем в том, что не могут. Разнообразие усиливает все стороны жизни.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vesna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elena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rambler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  <w:lang w:val="kk-KZ"/>
              </w:rPr>
              <w:t xml:space="preserve"> 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ВНИМАНИЕ! Дедлайн</w:t>
            </w:r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дедлайна приводит </w:t>
            </w:r>
            <w:r>
              <w:rPr>
                <w:b/>
                <w:sz w:val="20"/>
                <w:szCs w:val="20"/>
              </w:rPr>
              <w:t>к потере баллов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>
          <w:trHeight w:val="470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141" w:type="dxa"/>
              <w:jc w:val="left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000"/>
            </w:tblPr>
            <w:tblGrid>
              <w:gridCol w:w="738"/>
              <w:gridCol w:w="1134"/>
              <w:gridCol w:w="964"/>
              <w:gridCol w:w="879"/>
              <w:gridCol w:w="2666"/>
              <w:gridCol w:w="850"/>
              <w:gridCol w:w="2694"/>
              <w:gridCol w:w="1214"/>
            </w:tblGrid>
            <w:tr>
              <w:trPr>
                <w:trHeight w:val="58" w:hRule="atLeast"/>
              </w:trPr>
              <w:tc>
                <w:tcPr>
                  <w:tcW w:w="1113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ИНФОРМАЦИЯ О ПРЕПОДАВАНИИ, ОБУЧЕНИИ И ОЦЕНИВАНИИ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37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Балльно-рейтинговая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буквенная система оценки учета учебных достижений</w:t>
                  </w:r>
                </w:p>
              </w:tc>
              <w:tc>
                <w:tcPr>
                  <w:tcW w:w="74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Методы оценивания</w:t>
                  </w:r>
                </w:p>
              </w:tc>
            </w:tr>
            <w:tr>
              <w:trPr>
                <w:trHeight w:val="846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Цифровой</w:t>
                  </w:r>
                </w:p>
                <w:p>
                  <w:pPr>
                    <w:pStyle w:val="Normal"/>
                    <w:widowControl w:val="false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>
                  <w:pPr>
                    <w:pStyle w:val="Normal"/>
                    <w:widowControl w:val="false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Баллы,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% содержание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  <w:tc>
                <w:tcPr>
                  <w:tcW w:w="7424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Критериальное оценивание </w:t>
                  </w:r>
                  <w:r>
                    <w:rPr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процесс соотнесения реально достигнутых результатов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обучения с ожидаемыми результатами обучения на основе четко выработанных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критериев. Основано на формативном и суммативном оценивании.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Формативное оценивание – </w:t>
                  </w:r>
                  <w:r>
                    <w:rPr>
                      <w:sz w:val="16"/>
                      <w:szCs w:val="16"/>
                    </w:rPr>
                    <w:t>вид оценивания, который проводится в ходе повседневной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учебной деятельности. Является текущим показателем успеваемости. Обеспечивает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оперативную взаимосвязь между обучающимся и преподавателем. Позволяет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определить возможности обучающегося, выявить трудности, помочь в достижении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наилучших результатов, своевременно корректировать преподавателю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образовательный процесс. Оценивается выполнение заданий, активность работы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в аудитории во время лекций, семинаров, практических занятий (дискуссии, викторины,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дебаты, круглые столы, лабораторные работы и т. д.). Оцениваются приобретенные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знания  и компетенции.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Суммативное оценивание </w:t>
                  </w:r>
                  <w:r>
                    <w:rPr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>вид оценивания, который проводится по завершению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>изучения  раздела в соответствии с программой дисциплины.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>Проводится 3-4 раза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за семестр при выполнении СРС.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Это оценивание освоения ожидаемых результатов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обучения в соотнесенности с дескрипторами. Позволяет определять и фиксировать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 освоения дисциплины за определенный период. Оцениваются результаты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обучения.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95-100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Отлично</w:t>
                  </w:r>
                </w:p>
              </w:tc>
              <w:tc>
                <w:tcPr>
                  <w:tcW w:w="7424" w:type="dxa"/>
                  <w:gridSpan w:val="4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highlight w:val="green"/>
                    </w:rPr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A-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3,67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90-94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7424" w:type="dxa"/>
                  <w:gridSpan w:val="4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highlight w:val="green"/>
                    </w:rPr>
                  </w:r>
                </w:p>
              </w:tc>
            </w:tr>
            <w:tr>
              <w:trPr>
                <w:trHeight w:val="973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B+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3,33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85-89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Хорошо</w:t>
                  </w:r>
                </w:p>
              </w:tc>
              <w:tc>
                <w:tcPr>
                  <w:tcW w:w="7424" w:type="dxa"/>
                  <w:gridSpan w:val="4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15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80-84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Формативное оценивание</w:t>
                  </w:r>
                  <w:r>
                    <w:rPr>
                      <w:sz w:val="16"/>
                      <w:szCs w:val="16"/>
                    </w:rPr>
                    <w:t xml:space="preserve"> (еженедельно/текущий контроль)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кроме рубежной недели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балл за неделю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Суммативное оценивание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(рубежный контроль и СРС)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</w:t>
                  </w:r>
                </w:p>
              </w:tc>
            </w:tr>
            <w:tr>
              <w:trPr>
                <w:trHeight w:val="135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2,67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75-79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Активность на занятии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СРС 1, 2, 3, 4 (проектная форма )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>
              <w:trPr>
                <w:trHeight w:val="51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C+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2,33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70-74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Домашнее задание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3-4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Рубежная контрольная работа 1, 2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20</w:t>
                  </w:r>
                </w:p>
              </w:tc>
            </w:tr>
            <w:tr>
              <w:trPr>
                <w:trHeight w:val="181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65-69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Удовлетв.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Тестирование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color w:val="FF0000"/>
                      <w:sz w:val="16"/>
                      <w:szCs w:val="16"/>
                      <w:lang w:val="kk-KZ"/>
                    </w:rPr>
                  </w:pPr>
                  <w:r>
                    <w:rPr>
                      <w:color w:val="FF0000"/>
                      <w:sz w:val="16"/>
                      <w:szCs w:val="16"/>
                      <w:lang w:val="kk-KZ"/>
                    </w:rPr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1,67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60-64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b/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742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 xml:space="preserve">В сумме должно составлять 200 б. С применением коэффициента </w:t>
                  </w:r>
                  <w:r>
                    <w:rPr>
                      <w:b/>
                      <w:sz w:val="16"/>
                      <w:szCs w:val="16"/>
                      <w:lang w:val="kk-KZ"/>
                    </w:rPr>
                    <w:t>60 б.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  <w:r>
                    <w:rPr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1,33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55-59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Неудовлет</w:t>
                  </w:r>
                </w:p>
              </w:tc>
              <w:tc>
                <w:tcPr>
                  <w:tcW w:w="7424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Экзамен 100 б. С применением коэффициента </w:t>
                  </w:r>
                  <w:r>
                    <w:rPr>
                      <w:b/>
                      <w:sz w:val="16"/>
                      <w:szCs w:val="16"/>
                    </w:rPr>
                    <w:t>40б. (методику расчета см.в конце)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</w:rPr>
                    <w:t>50-54</w:t>
                  </w:r>
                </w:p>
              </w:tc>
              <w:tc>
                <w:tcPr>
                  <w:tcW w:w="87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highlight w:val="green"/>
                    </w:rPr>
                  </w:pPr>
                  <w:r>
                    <w:rPr>
                      <w:sz w:val="16"/>
                      <w:szCs w:val="16"/>
                      <w:highlight w:val="green"/>
                    </w:rPr>
                  </w:r>
                </w:p>
              </w:tc>
              <w:tc>
                <w:tcPr>
                  <w:tcW w:w="7424" w:type="dxa"/>
                  <w:gridSpan w:val="4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</w:tc>
      </w:tr>
      <w:tr>
        <w:trPr>
          <w:trHeight w:val="58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</w:tc>
      </w:tr>
    </w:tbl>
    <w:tbl>
      <w:tblPr>
        <w:tblStyle w:val="a8"/>
        <w:tblW w:w="10632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9"/>
        <w:gridCol w:w="7530"/>
        <w:gridCol w:w="1242"/>
        <w:gridCol w:w="990"/>
      </w:tblGrid>
      <w:tr>
        <w:trPr/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Неделя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Название темы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Кол-во часов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ind w:left="-68" w:right="0" w:firstLine="2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Макс.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б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алл</w:t>
            </w:r>
          </w:p>
        </w:tc>
      </w:tr>
      <w:tr>
        <w:trPr/>
        <w:tc>
          <w:tcPr>
            <w:tcW w:w="1063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4"/>
                <w:lang w:val="ru-RU" w:bidi="ar-SA"/>
              </w:rPr>
              <w:t xml:space="preserve">Модуль </w:t>
            </w:r>
            <w:r>
              <w:rPr>
                <w:b/>
                <w:kern w:val="0"/>
                <w:sz w:val="24"/>
                <w:lang w:val="en-US" w:bidi="ar-SA"/>
              </w:rPr>
              <w:t>I</w:t>
            </w:r>
            <w:r>
              <w:rPr>
                <w:b/>
                <w:kern w:val="0"/>
                <w:sz w:val="24"/>
                <w:lang w:val="ru-RU" w:bidi="ar-SA"/>
              </w:rPr>
              <w:t>. Компрессия научного текста.</w:t>
            </w:r>
          </w:p>
        </w:tc>
      </w:tr>
      <w:tr>
        <w:trPr>
          <w:trHeight w:val="71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ПЗ 1. </w:t>
            </w:r>
            <w:r>
              <w:rPr>
                <w:kern w:val="0"/>
                <w:sz w:val="20"/>
                <w:szCs w:val="20"/>
                <w:lang w:val="ru-RU" w:bidi="ar-SA"/>
              </w:rPr>
              <w:t>Основы компрессии научного текста. Основная и дополнительная информации текста. Виды дополнительной информации. Виды компрессии текста-первоисточника. Основные правила компрессии текста. Общепринятые сокращения; содержательные и языковые приёмы компрессии.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742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ПЗ 2.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План как структурно-содержательный компонент научного текста.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Виды плана (назывной, вопросный, тезисный). 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Составление плана текста.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3. 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Структурные элементы плана. Сложный план. </w:t>
            </w:r>
            <w:r>
              <w:rPr>
                <w:kern w:val="0"/>
                <w:sz w:val="20"/>
                <w:szCs w:val="20"/>
                <w:lang w:val="kk-KZ" w:bidi="ar-SA"/>
              </w:rPr>
              <w:t>Оформление плана с помощью римских и арабских цифр, буквенно-цифровое оформление плана.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С</w:t>
            </w:r>
            <w:r>
              <w:rPr>
                <w:b/>
                <w:kern w:val="0"/>
                <w:sz w:val="20"/>
                <w:szCs w:val="20"/>
                <w:lang w:val="kk-KZ" w:bidi="ar-SA"/>
              </w:rPr>
              <w:t>РС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 1. </w:t>
            </w:r>
            <w:r>
              <w:rPr>
                <w:kern w:val="0"/>
                <w:sz w:val="20"/>
                <w:szCs w:val="20"/>
                <w:lang w:val="ru-RU" w:bidi="ar-SA"/>
              </w:rPr>
              <w:t>Консультация по расписанию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СРС 1. 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Индивидуальный проект: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Составление всех видов плана текста по специальности. Устная презентация работы.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</w:tr>
      <w:tr>
        <w:trPr>
          <w:trHeight w:val="44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 xml:space="preserve">ПЗ 4. </w:t>
            </w:r>
            <w:r>
              <w:rPr>
                <w:kern w:val="0"/>
                <w:sz w:val="20"/>
                <w:szCs w:val="20"/>
                <w:lang w:val="ru-RU" w:bidi="ar-SA"/>
              </w:rPr>
              <w:t>Конспект. Виды конспекта. Составление конспекта научного текста.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ПЗ 5.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Правила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оформления отдельных видов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текстового материала.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Цитирование. Основные правила оформления цитат. Библиографическое описание. Оформление библиографии по специальности (ссылки, сноски, примечания, выходные данные).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СРСП 2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.  Консультация по</w:t>
            </w:r>
            <w:r>
              <w:rPr>
                <w:bCs/>
                <w:kern w:val="0"/>
                <w:sz w:val="20"/>
                <w:szCs w:val="20"/>
                <w:lang w:val="kk-KZ" w:eastAsia="ar-SA" w:bidi="ar-SA"/>
              </w:rPr>
              <w:t xml:space="preserve"> графику.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1063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МОДУЛЬ </w:t>
            </w:r>
            <w:r>
              <w:rPr>
                <w:b/>
                <w:kern w:val="0"/>
                <w:sz w:val="22"/>
                <w:szCs w:val="22"/>
                <w:lang w:val="en-US" w:bidi="ar-SA"/>
              </w:rPr>
              <w:t>II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.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lang w:val="ru-RU" w:bidi="ar-SA"/>
              </w:rPr>
              <w:t>Вторичные тексты научного стиля речи</w:t>
            </w:r>
          </w:p>
        </w:tc>
      </w:tr>
      <w:tr>
        <w:trPr>
          <w:trHeight w:val="660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ПЗ 6.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Вторичные тексты научного стиля. Жанры вторичного текста.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СРСП 3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.  Консультация по</w:t>
            </w:r>
            <w:r>
              <w:rPr>
                <w:bCs/>
                <w:kern w:val="0"/>
                <w:sz w:val="20"/>
                <w:szCs w:val="20"/>
                <w:lang w:val="kk-KZ" w:eastAsia="ar-SA" w:bidi="ar-SA"/>
              </w:rPr>
              <w:t xml:space="preserve"> графику.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СРС 2. 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Индивидуальный проект: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>Составление разных видов конспекта текста по специальности. Устная презентация работы.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</w:tr>
      <w:tr>
        <w:trPr>
          <w:trHeight w:val="710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" w:right="0" w:hanging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 xml:space="preserve">ПЗ 7. </w:t>
            </w:r>
            <w:r>
              <w:rPr>
                <w:kern w:val="0"/>
                <w:sz w:val="20"/>
                <w:szCs w:val="20"/>
                <w:lang w:val="ru-RU" w:bidi="ar-SA"/>
              </w:rPr>
              <w:t>Обобщение и повторение изученного материала.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Рубежная контрольная работа 1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</w:t>
            </w:r>
          </w:p>
        </w:tc>
      </w:tr>
      <w:tr>
        <w:trPr/>
        <w:tc>
          <w:tcPr>
            <w:tcW w:w="96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Рубежный контроль 1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100</w:t>
            </w:r>
          </w:p>
        </w:tc>
      </w:tr>
      <w:tr>
        <w:trPr>
          <w:trHeight w:val="115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ПЗ 8.</w:t>
            </w:r>
            <w:r>
              <w:rPr>
                <w:b/>
                <w:color w:val="FF0000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kk-KZ" w:bidi="ar-SA"/>
              </w:rPr>
              <w:t>Реферативное описание как основа вторичного текста по специальности.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>
          <w:trHeight w:val="95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ПЗ 9.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kk-KZ" w:bidi="ar-SA"/>
              </w:rPr>
              <w:t xml:space="preserve">Аннотирование научного текста.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  <w:t>Аннотация как жанр вторичного текста. Структура аннотации. Языковые средства оформления аннотации.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>
          <w:trHeight w:val="95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ПЗ 10.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Реферирование научного текста.</w:t>
            </w:r>
            <w:r>
              <w:rPr>
                <w:b/>
                <w:kern w:val="0"/>
                <w:sz w:val="20"/>
                <w:szCs w:val="20"/>
                <w:lang w:val="kk-KZ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Реферат как жанр вторичного текста. </w:t>
            </w:r>
            <w:r>
              <w:rPr>
                <w:kern w:val="0"/>
                <w:sz w:val="20"/>
                <w:szCs w:val="20"/>
                <w:lang w:val="ru-RU" w:bidi="ar-SA"/>
              </w:rPr>
              <w:t>Виды репродуктивных и продуктивных рефератов. Структура и языковые особенности.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СРСП 4. Консультация по</w:t>
            </w:r>
            <w:r>
              <w:rPr>
                <w:b/>
                <w:bCs/>
                <w:kern w:val="0"/>
                <w:sz w:val="20"/>
                <w:szCs w:val="20"/>
                <w:lang w:val="kk-KZ" w:eastAsia="ar-SA" w:bidi="ar-SA"/>
              </w:rPr>
              <w:t xml:space="preserve"> графику.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>
          <w:trHeight w:val="1100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11. </w:t>
            </w:r>
            <w:r>
              <w:rPr>
                <w:kern w:val="0"/>
                <w:sz w:val="20"/>
                <w:szCs w:val="20"/>
                <w:lang w:val="ru-RU" w:bidi="ar-SA"/>
              </w:rPr>
              <w:t>Рецензия. Структура рецензии: характеристика объекта анализа (тема, жанр рецензируемой работы), оценка актуальности, место произведения в творчестве автора, сравнительный анализ с другими аналогичными произведениями, общая оценка работы рецензентом, недостатки и недочеты работы, выводы.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СРС 3.  </w:t>
            </w:r>
            <w:r>
              <w:rPr>
                <w:kern w:val="0"/>
                <w:sz w:val="20"/>
                <w:szCs w:val="20"/>
                <w:lang w:val="ru-RU" w:bidi="ar-SA"/>
              </w:rPr>
              <w:t>Индивидуальный проект:  Реферативное описание научного текста как основа для создания вторичного текста. Аннотация как жанр вторичного текста. Устная презентация работы.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</w:tr>
      <w:tr>
        <w:trPr>
          <w:trHeight w:val="441" w:hRule="atLeast"/>
        </w:trPr>
        <w:tc>
          <w:tcPr>
            <w:tcW w:w="1063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4"/>
                <w:lang w:val="ru-RU" w:bidi="ar-SA"/>
              </w:rPr>
              <w:t xml:space="preserve">Модуль </w:t>
            </w:r>
            <w:r>
              <w:rPr>
                <w:b/>
                <w:kern w:val="0"/>
                <w:sz w:val="24"/>
                <w:lang w:val="en-US" w:bidi="ar-SA"/>
              </w:rPr>
              <w:t>III</w:t>
            </w:r>
            <w:r>
              <w:rPr>
                <w:b/>
                <w:kern w:val="0"/>
                <w:sz w:val="24"/>
                <w:lang w:val="ru-RU" w:bidi="ar-SA"/>
              </w:rPr>
              <w:t>. Устная научная речь</w:t>
            </w:r>
          </w:p>
        </w:tc>
      </w:tr>
      <w:tr>
        <w:trPr>
          <w:trHeight w:val="95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ПЗ11.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Устная научная речь. Монолог. Диалог. Полилог. Монологическое высказывание в научной речи. Подготовленная научная речь. Спонтанная научная речь. </w:t>
            </w:r>
            <w:r>
              <w:rPr>
                <w:kern w:val="0"/>
                <w:sz w:val="20"/>
                <w:szCs w:val="20"/>
                <w:lang w:val="ru-RU" w:bidi="ar-SA"/>
              </w:rPr>
              <w:t>Основы научной и деловой риторики. Риторические навыки и умения.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Особенности публичного выступления. Правила научной презентации.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>
          <w:trHeight w:val="950" w:hRule="atLeast"/>
        </w:trPr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13. </w:t>
            </w:r>
            <w:r>
              <w:rPr>
                <w:kern w:val="0"/>
                <w:sz w:val="20"/>
                <w:szCs w:val="20"/>
                <w:lang w:val="kk-KZ" w:bidi="ar-SA"/>
              </w:rPr>
              <w:t>Виды диалога и способы его языкового оформления.</w:t>
            </w:r>
            <w:r>
              <w:rPr>
                <w:kern w:val="0"/>
                <w:sz w:val="20"/>
                <w:szCs w:val="20"/>
                <w:lang w:val="ru-RU" w:bidi="ru-RU"/>
              </w:rPr>
              <w:t xml:space="preserve"> Модели диалога. Составление научного диалога по модели. </w:t>
            </w:r>
            <w:r>
              <w:rPr>
                <w:kern w:val="0"/>
                <w:sz w:val="20"/>
                <w:szCs w:val="20"/>
                <w:lang w:val="kk-KZ" w:bidi="ar-SA"/>
              </w:rPr>
              <w:t xml:space="preserve"> Речевые стратегии в учебно-научном диалоге.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С</w:t>
            </w:r>
            <w:r>
              <w:rPr>
                <w:b/>
                <w:kern w:val="0"/>
                <w:sz w:val="20"/>
                <w:szCs w:val="20"/>
                <w:lang w:val="kk-KZ" w:bidi="ar-SA"/>
              </w:rPr>
              <w:t>РС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 5. 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Консультация по выполнению 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СРС 4.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14. </w:t>
            </w:r>
            <w:r>
              <w:rPr>
                <w:kern w:val="0"/>
                <w:sz w:val="20"/>
                <w:szCs w:val="20"/>
                <w:lang w:val="kk-KZ" w:bidi="ar-SA"/>
              </w:rPr>
              <w:t>Полилог. Учебно-научная дискуссия. Формы проведения учебно-научной дискуссии.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5</w:t>
            </w:r>
          </w:p>
        </w:tc>
      </w:tr>
      <w:tr>
        <w:trPr/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СРС 4. </w:t>
            </w:r>
            <w:r>
              <w:rPr>
                <w:kern w:val="0"/>
                <w:sz w:val="20"/>
                <w:szCs w:val="20"/>
                <w:lang w:val="ru-RU" w:bidi="ar-SA"/>
              </w:rPr>
              <w:t>Групповой  проект «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Учебно-научная дискуссия</w:t>
            </w:r>
            <w:r>
              <w:rPr>
                <w:kern w:val="0"/>
                <w:sz w:val="20"/>
                <w:szCs w:val="20"/>
                <w:lang w:val="ru-RU" w:bidi="ar-SA"/>
              </w:rPr>
              <w:t>».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</w:tr>
      <w:tr>
        <w:trPr/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15. </w:t>
            </w:r>
            <w:r>
              <w:rPr>
                <w:kern w:val="0"/>
                <w:sz w:val="20"/>
                <w:szCs w:val="20"/>
                <w:lang w:val="ru-RU" w:bidi="ar-SA"/>
              </w:rPr>
              <w:t>Язык специальности и профессиональная культура речи.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</w:t>
            </w:r>
          </w:p>
        </w:tc>
      </w:tr>
      <w:tr>
        <w:trPr>
          <w:trHeight w:val="710" w:hRule="atLeast"/>
        </w:trPr>
        <w:tc>
          <w:tcPr>
            <w:tcW w:w="86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16</w:t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ПЗ 15. </w:t>
            </w:r>
            <w:r>
              <w:rPr>
                <w:bCs/>
                <w:kern w:val="0"/>
                <w:sz w:val="20"/>
                <w:szCs w:val="20"/>
                <w:lang w:val="ru-RU" w:bidi="ar-SA"/>
              </w:rPr>
              <w:t>Повторение и обобщение изученного материала. Подготовка к рубежному контролю.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С</w:t>
            </w:r>
            <w:r>
              <w:rPr>
                <w:b/>
                <w:kern w:val="0"/>
                <w:sz w:val="20"/>
                <w:szCs w:val="20"/>
                <w:lang w:val="kk-KZ" w:bidi="ar-SA"/>
              </w:rPr>
              <w:t>РС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П 6.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86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53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Рубежная контрольная работа 2</w:t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</w:t>
            </w:r>
          </w:p>
        </w:tc>
      </w:tr>
      <w:tr>
        <w:trPr/>
        <w:tc>
          <w:tcPr>
            <w:tcW w:w="9641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kk-KZ" w:bidi="ar-SA"/>
              </w:rPr>
              <w:t>Рубежный контроль 2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100</w:t>
            </w:r>
          </w:p>
        </w:tc>
      </w:tr>
      <w:tr>
        <w:trPr/>
        <w:tc>
          <w:tcPr>
            <w:tcW w:w="9641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Общий  балл за семестр</w:t>
            </w:r>
            <w:r>
              <w:rPr>
                <w:b/>
                <w:color w:val="FF0000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– РК 1+ РК 2 = 200, с учетом коэффициента – 60 б. </w:t>
            </w:r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(РК1+РК2):2</w:t>
            </w:r>
            <w:r>
              <w:rPr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×</m:t>
              </m:r>
            </m:oMath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0,6= 60 б (</w:t>
            </w:r>
            <w:r>
              <w:rPr>
                <w:color w:val="FF0000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 xml:space="preserve">)  </w:t>
            </w:r>
            <w:r>
              <w:rPr>
                <w:sz w:val="24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РК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РК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,6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60</m:t>
              </m:r>
              <m:r>
                <w:rPr>
                  <w:rFonts w:ascii="Cambria Math" w:hAnsi="Cambria Math"/>
                </w:rPr>
                <m:t xml:space="preserve">б</m:t>
              </m:r>
            </m:oMath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 xml:space="preserve"> (</w:t>
            </w:r>
            <w:r>
              <w:rPr>
                <w:color w:val="FF0000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99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60</w:t>
            </w:r>
          </w:p>
        </w:tc>
      </w:tr>
      <w:tr>
        <w:trPr/>
        <w:tc>
          <w:tcPr>
            <w:tcW w:w="9641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Итоговый контроль (экзамен) – 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100 баллов, с учетом коэффициента – 40 б. </w:t>
            </w:r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ИК</w:t>
            </w:r>
            <w:r>
              <w:rPr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,4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40</m:t>
              </m:r>
              <m:r>
                <w:rPr>
                  <w:rFonts w:ascii="Cambria Math" w:hAnsi="Cambria Math"/>
                </w:rPr>
                <m:t xml:space="preserve">б</m:t>
              </m:r>
            </m:oMath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. (</w:t>
            </w:r>
            <w:r>
              <w:rPr>
                <w:color w:val="FF0000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color w:val="FF0000"/>
                <w:kern w:val="0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99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40</w:t>
            </w:r>
          </w:p>
        </w:tc>
      </w:tr>
      <w:tr>
        <w:trPr/>
        <w:tc>
          <w:tcPr>
            <w:tcW w:w="9641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 xml:space="preserve">Общий максимальный балл за семестр </w:t>
            </w:r>
            <w:r>
              <w:rPr>
                <w:kern w:val="0"/>
                <w:sz w:val="20"/>
                <w:szCs w:val="20"/>
                <w:lang w:val="ru-RU" w:bidi="ar-SA"/>
              </w:rPr>
              <w:t>– РК 1 + РК 2 + экзамен – 100 б.</w:t>
            </w:r>
          </w:p>
        </w:tc>
        <w:tc>
          <w:tcPr>
            <w:tcW w:w="99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                                                </w:t>
      </w:r>
      <w:r>
        <w:rPr>
          <w:b/>
          <w:bCs/>
          <w:sz w:val="20"/>
          <w:szCs w:val="20"/>
        </w:rPr>
        <w:t xml:space="preserve"> Джолдасбекова Б.У. </w:t>
      </w:r>
      <w:r>
        <w:rPr>
          <w:b/>
          <w:sz w:val="20"/>
          <w:szCs w:val="20"/>
        </w:rPr>
        <w:t xml:space="preserve">   </w:t>
      </w:r>
    </w:p>
    <w:p>
      <w:pPr>
        <w:pStyle w:val="Normal"/>
        <w:spacing w:before="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>
      <w:pPr>
        <w:pStyle w:val="Normal"/>
        <w:spacing w:before="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                        </w:t>
      </w:r>
      <w:r>
        <w:rPr>
          <w:b/>
          <w:bCs/>
          <w:sz w:val="20"/>
          <w:szCs w:val="20"/>
        </w:rPr>
        <w:t xml:space="preserve"> Таттимбетова К.О.</w:t>
      </w:r>
    </w:p>
    <w:p>
      <w:pPr>
        <w:pStyle w:val="Normal"/>
        <w:spacing w:before="0" w:after="12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b/>
          <w:sz w:val="20"/>
          <w:szCs w:val="20"/>
        </w:rPr>
        <w:t>Лектор                                                      Зуева Н. Ю.</w:t>
      </w:r>
    </w:p>
    <w:p>
      <w:pPr>
        <w:pStyle w:val="Normal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РУБРИКАТОР СУММАТИВНОГО  ОЦЕНИВАНИЯ САМОСТОЯТЕЛЬНОЙ РАБОТЫ ОБУЧАЮЩЕГОСЯ (СРО)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iCs/>
        </w:rPr>
      </w:pPr>
      <w:r>
        <w:rPr>
          <w:iCs/>
        </w:rPr>
        <w:t>КРИТЕРИИ ОЦЕНИВАНИЯ  РЕЗУЛЬТАТОВ ОБУЧЕНИЯ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СРС № 1. </w:t>
      </w:r>
      <w:r>
        <w:rPr>
          <w:sz w:val="22"/>
          <w:szCs w:val="22"/>
        </w:rPr>
        <w:t>Индивидуальный проект: Составление всех видов плана текста по специальности. Устная презентация работы (15% от  100% РК).</w:t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  <w:color w:val="FF0000"/>
        </w:rPr>
        <w:t> </w:t>
      </w:r>
      <w:r>
        <w:rPr>
          <w:color w:val="FF0000"/>
        </w:rPr>
        <w:t xml:space="preserve">  </w:t>
      </w:r>
    </w:p>
    <w:tbl>
      <w:tblPr>
        <w:tblW w:w="14183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4a0"/>
      </w:tblPr>
      <w:tblGrid>
        <w:gridCol w:w="2560"/>
        <w:gridCol w:w="2693"/>
        <w:gridCol w:w="3119"/>
        <w:gridCol w:w="3117"/>
        <w:gridCol w:w="2694"/>
      </w:tblGrid>
      <w:tr>
        <w:trPr>
          <w:trHeight w:val="484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  15-12 %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           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11-8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7-5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«Неудовлетворительно </w:t>
            </w:r>
            <w:r>
              <w:rPr>
                <w:bCs/>
                <w:color w:val="000000"/>
                <w:sz w:val="20"/>
                <w:szCs w:val="20"/>
              </w:rPr>
              <w:t>0-4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>
            <w:pPr>
              <w:pStyle w:val="ListParagraph"/>
              <w:widowControl w:val="false"/>
              <w:ind w:left="0" w:hanging="286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</w:t>
            </w:r>
          </w:p>
        </w:tc>
      </w:tr>
      <w:tr>
        <w:trPr>
          <w:trHeight w:val="21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требований по составлению и оформлению текста по специальности и умение им следовать при создании текста  в проектной деятельности.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[Выбор темы, четкая структура текста, соблюдение правил оформления в текстовом редакторе]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 требования по составлению и оформлению текста по специальности и успешно  их применяет  при составлении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соответствует теме. Структура текста четкая.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не менее 3-х источников.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Знает, но не всегда соблюдает  требования  по составлению текста, указанные в Методических рекомендациях по выполнению СРС № 1.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3104" w:leader="none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2 источника.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составлен с серьезными нарушениями требований по содержанию и оформлению.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не соответствует требованиям, указанным в Методических рекомендациях по выполнению СРС № 1.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Текста не составлен.</w:t>
            </w:r>
          </w:p>
        </w:tc>
      </w:tr>
      <w:tr>
        <w:trPr>
          <w:trHeight w:val="10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 алгоритма действий по составлению плана текста по специальности (основного и промежуточных этапов). Правильное  составление каждого  заданного  вида плана.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формулирует пункты всех видов плана. Допускаются  некоторые  неточности  в формулировках отдельных  видов планов.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основном правильно формулирует пункты всех видов плана. Допускает 2-3 ошибки в формулировании  отдельных видов плана.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соблюдает алгоритм действий по составлению плана  текста. Допускает ошибки в формулировании  пунктов нескольких  видов плана.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знает  алгоритм действий по составлению плана текста. Допускает значительное количество ошибок в составлении всех видов плана.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Задание не выполнено.</w:t>
            </w:r>
          </w:p>
        </w:tc>
      </w:tr>
      <w:tr>
        <w:trPr>
          <w:trHeight w:val="22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правил оформления презентации (</w:t>
            </w:r>
            <w:r>
              <w:rPr>
                <w:kern w:val="2"/>
                <w:sz w:val="20"/>
                <w:szCs w:val="20"/>
              </w:rPr>
              <w:t>PowerPoint или нейросеть).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Оформление и расположение слайдов в соответствии с правилами хорошей презентации.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Соответствие презентации содержанию исходного текста.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Креативность.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 в соответствии с правилами хорошей презентации.  Слайды оформлены и расположены в соответствии с задачей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оригинальна и креативна.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презентация составлена правильно.  Допущены  негрубые ошибки в оформлении и расположении слайдов.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однообразна, не  оригинальна.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с нарушением правил хорошей презентации. Преобладают текстовые слайды.  Презентация не самостоятельна.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выполнена.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не соответствует содержанию исходного текста и задачам проекта.</w:t>
            </w:r>
          </w:p>
        </w:tc>
      </w:tr>
      <w:tr>
        <w:trPr>
          <w:trHeight w:val="130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проекта: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речи.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хорошо составлен и озвучен.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Корректное соотношение текста слайда и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грамотная речь.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составлен хорошо, но недостаточно хорошо озвучен,  наличие неоправданных пауз, повторов.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некоторых случаях наблюдалось дублирование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Незначительные речевые ошибки.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не всегда соответствовал задачам презентации и проекта в целом.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совпадение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Значительное количество речевых ошибок.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Текст устного выступления отсутствует или его содержание не соответствует задачам  проекта.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сбивчивая, с большим количеством речевых ошибок.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СРС № 2. Групповой  проект: Составление разных видов конспекта текста по специальности. Устная презентация работы</w:t>
      </w:r>
      <w:r>
        <w:rPr>
          <w:sz w:val="22"/>
          <w:szCs w:val="22"/>
        </w:rPr>
        <w:t>(15% от  100% РК).</w:t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  <w:color w:val="FF0000"/>
        </w:rPr>
        <w:t> </w:t>
      </w:r>
      <w:r>
        <w:rPr>
          <w:color w:val="FF0000"/>
        </w:rPr>
        <w:t xml:space="preserve">  </w:t>
      </w:r>
    </w:p>
    <w:tbl>
      <w:tblPr>
        <w:tblW w:w="14183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4a0"/>
      </w:tblPr>
      <w:tblGrid>
        <w:gridCol w:w="2560"/>
        <w:gridCol w:w="2693"/>
        <w:gridCol w:w="3119"/>
        <w:gridCol w:w="2974"/>
        <w:gridCol w:w="2837"/>
      </w:tblGrid>
      <w:tr>
        <w:trPr>
          <w:trHeight w:val="484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  15-12 %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       </w:t>
            </w:r>
            <w:r>
              <w:rPr>
                <w:bCs/>
                <w:color w:val="000000"/>
                <w:sz w:val="20"/>
                <w:szCs w:val="20"/>
              </w:rPr>
              <w:t>11-8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7-5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«Неудовлетворительно» </w:t>
            </w:r>
            <w:r>
              <w:rPr>
                <w:color w:val="000000"/>
                <w:sz w:val="20"/>
                <w:szCs w:val="20"/>
              </w:rPr>
              <w:t>4-0 %</w:t>
            </w:r>
          </w:p>
          <w:p>
            <w:pPr>
              <w:pStyle w:val="ListParagraph"/>
              <w:widowControl w:val="false"/>
              <w:ind w:left="0" w:hanging="286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</w:t>
            </w:r>
          </w:p>
        </w:tc>
      </w:tr>
      <w:tr>
        <w:trPr>
          <w:trHeight w:val="21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требований по составлению и оформлению текста по специальности и умение им следовать  при создании текста в проектной деятельности;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[Выбор темы, четкая структура текста, соблюдение правил оформления в текстовом редакторе]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 требования по составлению и оформлению текста по специальности и успешно  их применяет  при составлении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соответствует теме. Структура текста четкая.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не менее 3-х источников.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Знает, но не всегда соблюдает  требования  по составлению текста, указанные в Методических рекомендациях по выполнению СРС № 2.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2 источника.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составлен с серьезными нарушениями требований по содержанию и оформлению.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не соответствует требованиям, указанным в Методических рекомендациях по выполнению СРС № 2.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не составлен.</w:t>
            </w:r>
          </w:p>
        </w:tc>
      </w:tr>
      <w:tr>
        <w:trPr>
          <w:trHeight w:val="10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всех  видов конспектов и принципов их составления.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составление  заданного вида конспекта.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составлен  в соответствии с требованиями, указанными в Методических рекомендациях по выполнению СРС № 2.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составленный вид конспекта соответствует требованиям. Но допущены ошибки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составлении и оформлении конспекта.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 70 % работы  выполнено правильно,  при составлении конспекта были допущены грубые ошибки.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Составленный конспект не соответствует заданному виду.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сделана менее, чем наполовину.</w:t>
            </w:r>
          </w:p>
        </w:tc>
      </w:tr>
      <w:tr>
        <w:trPr>
          <w:trHeight w:val="22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правил оформления презентации (</w:t>
            </w:r>
            <w:r>
              <w:rPr>
                <w:kern w:val="2"/>
                <w:sz w:val="20"/>
                <w:szCs w:val="20"/>
              </w:rPr>
              <w:t>PowerPoint или нейросеть).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Оформление и расположение слайдов в соответствии с правилами хорошей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 в соответствии с правилами хорошей презентации.  Слайды оформлены и расположены в соответствии с задачей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оригинальна и креативна.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презентация составлена правильно.  Допущены  негрубые ошибки в оформлении и расположении слайдов.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однообразна, не  оригинальна.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с нарушением правил хорошей презентации. Преобладают текстовые слайды.  Презентация не самостоятельна.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выполнена.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не соответствует содержанию исходного текста и задачам проекта.</w:t>
            </w:r>
          </w:p>
        </w:tc>
      </w:tr>
      <w:tr>
        <w:trPr>
          <w:trHeight w:val="130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проекта: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речи.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действий членов команды.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Четкое определение степени включенности в командную работу каждого.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хорошо составлен и озвучен.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Корректное соотношение текста слайда и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грамотная речь.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из участников проекта внес пропорциональный вклад в достижение отличного результата. Командная работа состоялась.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составлен хорошо, но недостаточно хорошо озвучен,  наличие неоправданных пауз, повторов.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некоторых случаях наблюдалось дублирование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Незначительные речевые ошибки.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команда сложилась, действовали слаженно, но нагрузка на некоторых членов команды была большей.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не всегда соответствовал задачам презентации и проекта в целом.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совпадение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Значительное количество речевых ошибок.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Командная работа не получилась. Каждый выполнил свою функцию. Слаженности в действиях не было.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Текст устного выступления отсутствует или его содержание не соответствует задачам  проекта.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сбивчивая, с большим количеством речевых ошибок.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Командная работа не состоялась.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/>
        <w:t xml:space="preserve">СРС № 3. Индивидуальный проект: Реферативное описание научного текста как основа для создания вторичного текста. Аннотация как жанр вторичного текста. Устная презентация работы </w:t>
      </w:r>
      <w:r>
        <w:rPr>
          <w:sz w:val="22"/>
          <w:szCs w:val="22"/>
        </w:rPr>
        <w:t>(15% от  100% РК).</w:t>
      </w:r>
    </w:p>
    <w:p>
      <w:pPr>
        <w:pStyle w:val="Normal"/>
        <w:rPr/>
      </w:pPr>
      <w:r>
        <w:rPr>
          <w:color w:val="FF0000"/>
        </w:rPr>
        <w:t xml:space="preserve">  </w:t>
      </w:r>
    </w:p>
    <w:tbl>
      <w:tblPr>
        <w:tblW w:w="14183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4a0"/>
      </w:tblPr>
      <w:tblGrid>
        <w:gridCol w:w="2560"/>
        <w:gridCol w:w="2693"/>
        <w:gridCol w:w="3119"/>
        <w:gridCol w:w="3117"/>
        <w:gridCol w:w="2694"/>
      </w:tblGrid>
      <w:tr>
        <w:trPr>
          <w:trHeight w:val="484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  15-12 %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       </w:t>
            </w:r>
            <w:r>
              <w:rPr>
                <w:bCs/>
                <w:color w:val="000000"/>
                <w:sz w:val="20"/>
                <w:szCs w:val="20"/>
              </w:rPr>
              <w:t>11-8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7-5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«Неудовлетворительно </w:t>
            </w:r>
            <w:r>
              <w:rPr>
                <w:color w:val="000000"/>
                <w:sz w:val="20"/>
                <w:szCs w:val="20"/>
              </w:rPr>
              <w:t>4-0 %</w:t>
            </w:r>
          </w:p>
          <w:p>
            <w:pPr>
              <w:pStyle w:val="ListParagraph"/>
              <w:widowControl w:val="false"/>
              <w:ind w:left="0" w:hanging="286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</w:t>
            </w:r>
          </w:p>
        </w:tc>
      </w:tr>
      <w:tr>
        <w:trPr>
          <w:trHeight w:val="21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требований по составлению и оформлению текста по специальности и умение их использовать в проектной деятельности.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[Выбор темы, четкая структура текста, соблюдение правил оформления в текстовом редакторе]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3-х источников информации.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 требования по составлению и оформлению текста по специальности и успешно  их применяет  при составлении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соответствует теме. Структура текста четкая.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не менее 3-х источников.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Знает, но не всегда соблюдает  требования  по составлению текста, указанные в Методических рекомендациях по выполнению СРС № 3.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2 источника.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составлен с серьезными нарушениями требований по содержанию и оформлению.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Текст не соответствует требованиям, указанным в Методических рекомендациях по выполнению СРС № 3.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 только один источник информации.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не составлен.</w:t>
            </w:r>
          </w:p>
        </w:tc>
      </w:tr>
      <w:tr>
        <w:trPr>
          <w:trHeight w:val="10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алгоритма действий по составлению реферативного описания текста по специальности и следование ему при  описании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структуры и языковых средств составления аннотации.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 составление  реферативного описания и аннотации.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реферативного описания соответствует всем требованиям. Языковые средства выбраны адекватно содержанию текста и задачам реферативного описания.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Составленная аннотация отвечает всем требованиям.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реферативного описания  в целом соответствует требованиям.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 корректно использует языковые средства для реферирования,  допущены   2-3 грубые и 2-3 негрубые  в ошибки.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50 % работы  выполнено правильно,  при описании текста были допущены грубые ошибки.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Допущены нарушения в структуре аннотации.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 40%  текста работы выполнено.  При использовании языковых средств  были допущены грубые ошибки.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структура аннотации и реферативного описания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не выполнена.</w:t>
            </w:r>
          </w:p>
        </w:tc>
      </w:tr>
      <w:tr>
        <w:trPr>
          <w:trHeight w:val="22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правил оформления презентации (</w:t>
            </w:r>
            <w:r>
              <w:rPr>
                <w:kern w:val="2"/>
                <w:sz w:val="20"/>
                <w:szCs w:val="20"/>
              </w:rPr>
              <w:t>PowerPoint или нейросеть).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Оформление и расположение слайдов в соответствии с правилами хорошей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 в соответствии с правилами хорошей презентации.  Слайды оформлены и расположены в соответствии с задачей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оригинальна и креативна.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презентация составлена правильно.  Допущены  негрубые ошибки в оформлении и расположении слайдов.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однообразна, не  оригинальна.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с нарушением правил хорошей презентации. Преобладают текстовые слайды.  Презентация не самостоятельна.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выполнена.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не соответствует содержанию исходного текста и задачам проекта.</w:t>
            </w:r>
          </w:p>
        </w:tc>
      </w:tr>
      <w:tr>
        <w:trPr>
          <w:trHeight w:val="130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проекта: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речи.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хорошо составлен и озвучен.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Корректное соотношение текста слайда и текста устного выступления.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грамотная речь.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составлен хорошо, но недостаточно хорошо озвучен,  наличие неоправданных пауз, повторов.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некоторых случаях наблюдалось дублирование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Незначительные речевые ошибки.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устного выступления не всегда соответствовал задачам презентации и проекта в целом.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совпадение текста слайда и закадрового текста.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Значительное количество речевых ошибок.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Текст устного выступления отсутствует или его содержание не соответствует задачам  проекта.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сбивчивая, с большим количеством речевых ошибок.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СРС № 4. </w:t>
      </w:r>
      <w:r>
        <w:rPr>
          <w:bCs/>
        </w:rPr>
        <w:t xml:space="preserve">Групповой проект: Учебно-научная дискуссия </w:t>
      </w:r>
      <w:r>
        <w:rPr>
          <w:sz w:val="22"/>
          <w:szCs w:val="22"/>
        </w:rPr>
        <w:t>(15% от  100% РК).</w:t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  <w:color w:val="FF0000"/>
        </w:rPr>
        <w:t> </w:t>
      </w:r>
      <w:r>
        <w:rPr>
          <w:color w:val="FF0000"/>
        </w:rPr>
        <w:t xml:space="preserve">  </w:t>
      </w:r>
    </w:p>
    <w:tbl>
      <w:tblPr>
        <w:tblW w:w="14183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val="04a0"/>
      </w:tblPr>
      <w:tblGrid>
        <w:gridCol w:w="2560"/>
        <w:gridCol w:w="2693"/>
        <w:gridCol w:w="3119"/>
        <w:gridCol w:w="3117"/>
        <w:gridCol w:w="2694"/>
      </w:tblGrid>
      <w:tr>
        <w:trPr>
          <w:trHeight w:val="484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  15-12 %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       </w:t>
            </w:r>
            <w:r>
              <w:rPr>
                <w:bCs/>
                <w:color w:val="000000"/>
                <w:sz w:val="20"/>
                <w:szCs w:val="20"/>
              </w:rPr>
              <w:t>11-8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7-5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«Неудовлетворительно </w:t>
            </w:r>
            <w:r>
              <w:rPr>
                <w:color w:val="000000"/>
                <w:sz w:val="20"/>
                <w:szCs w:val="20"/>
              </w:rPr>
              <w:t>4-0 %</w:t>
            </w:r>
          </w:p>
          <w:p>
            <w:pPr>
              <w:pStyle w:val="ListParagraph"/>
              <w:widowControl w:val="false"/>
              <w:ind w:left="0" w:hanging="286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</w:t>
            </w:r>
          </w:p>
        </w:tc>
      </w:tr>
      <w:tr>
        <w:trPr>
          <w:trHeight w:val="21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1.Выбор темы дискуссии и формы ее проведения.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Сбор и селекция </w:t>
            </w:r>
            <w:r>
              <w:rPr>
                <w:sz w:val="20"/>
                <w:szCs w:val="20"/>
                <w:lang w:val="kk-KZ"/>
              </w:rPr>
              <w:t xml:space="preserve">материалов через Интернет-ресурсы с применением </w:t>
            </w:r>
            <w:r>
              <w:rPr>
                <w:sz w:val="20"/>
                <w:szCs w:val="20"/>
              </w:rPr>
              <w:t>модели-схемы поиска информации «Дом».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Формулирование проблемы обсуждения.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Тема дискуссии актуальна, соответствует гуманитарным и этическим принципам. Форма дискуссии соответствует составу участников.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Каждый участник дискуссии собрал  материалы и распределил их по папкам в соответствии с Методическими рекомендациями  по выполнению СРС № 4.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Проблема для проведения дискуссии была сформулирована корректно.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 Тема дискуссии актуальна, соответствует гуманитарным и этическим принципам. Форма дискуссии не совсем соответствует составу участников.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Не все  участники дискуссии собрали  материалы и распределили их по папкам в соответствии с Методическими рекомендациями  по выполнению СРС № 4.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Проблема для проведения дискуссии была сформулирована корректно.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 Тема дискуссии не актуальна или не соответствует гуманитарным и этическим принципам. Форма дискуссии не соответствует составу участников.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Не все участники дискуссии собрали  материалы и распределили их по папкам в соответствии с Методическими рекомендациями  по выполнению СРС № 4.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Проблема для проведения дискуссии была сформулирована не корректно.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1. Тема дискуссии не актуальна или не соответствует гуманитарным и этическим принципам. Дискуссия носит спонтанный характер, не просматривается предварительной подготовки.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 Никто из  участников дискуссии не собрал материалы.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Проблема для дискуссии не была сформулирована.</w:t>
            </w:r>
          </w:p>
        </w:tc>
      </w:tr>
      <w:tr>
        <w:trPr>
          <w:trHeight w:val="10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 аргументации.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Примеры.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Языковое оформление.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Корректность поведения во время дискуссии.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Аргументация всех участников дискуссии была убедительной и достаточной для обоснования своей позиции.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Приведенные примеры соответствовали тематике и проблематике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Языковое оформление выступления было корректным.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Поведение всех участников дискуссии было адекватным.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Аргументация не всех участников дискуссии была убедительной и достаточной для обоснования своей позиции.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Приведенные примеры не всегда соответствовали тематике и проблематике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Языковое оформление выступления не во всех случаях было корректным.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Поведение всех участников дискуссии было адекватным.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Аргументация всех участников дискуссии была недостаточно убедительной для обоснования своей позиции.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Приведенные примеры не всегда соответствовали тематике и проблематике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Языковое оформление выступления во многих  случаях  не было корректным.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Поведение всех участников дискуссии было адекватным.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носит спонтанный характер, не просматривается предварительной подготовки.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Аргументация или отсутствует, или не убедительна. Примеры не были приведены.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Языковое оформление не корректно.</w:t>
            </w:r>
          </w:p>
        </w:tc>
      </w:tr>
      <w:tr>
        <w:trPr>
          <w:trHeight w:val="227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правил оформления презентации (</w:t>
            </w:r>
            <w:r>
              <w:rPr>
                <w:kern w:val="2"/>
                <w:sz w:val="20"/>
                <w:szCs w:val="20"/>
              </w:rPr>
              <w:t>PowerPoint или нейросеть).</w:t>
            </w:r>
          </w:p>
          <w:p>
            <w:pPr>
              <w:pStyle w:val="Normal"/>
              <w:widowControl w:val="false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Оформление и расположение слайдов в соответствии с правилами хорошей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 в соответствии с правилами хорошей презентации.  Слайды оформлены и расположены в соответствии с задачей презентации.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оригинальна и креативна.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презентация составлена правильно.  Допущены  негрубые ошибки в оформлении и расположении слайдов.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однообразна, не  оригинальна.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составлена с нарушением правил хорошей презентации. Преобладают текстовые слайды.  Презентация не самостоятельна. Креативность не наблюдается.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выполнена.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не соответствует содержанию исходного текста и задачам проекта.</w:t>
            </w:r>
          </w:p>
        </w:tc>
      </w:tr>
      <w:tr>
        <w:trPr>
          <w:trHeight w:val="130" w:hRule="atLeast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проекта: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проведения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Согласованность действий членов команды.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Четкое определение степени включенности в командную работу каждого.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Рефлексия: оценка и самооценка дискуссии.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проведения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из участников проекта внес пропорциональный вклад в достижение результата. Командная работа состоялась.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дискуссии  дали объективную оценку своему выступлению и выступлению оппонентов, ходу и результатам дискуссии.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высокий уровень проведения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из участников проекта внес пропорциональный вклад в достижение результата. Командная работа состоялась. Есть небольшие замечания по ведению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дискуссии  дали объективную оценку своему выступлению и выступлению оппонентов, ходу и результатам дискуссии.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Невысокий уровень проведения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участников дискуссии часто не согласованы. Трудно говорить о командной  работе.  Есть замечания по ведению дискуссии.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дискуссии  не вполне смогли дать объективную оценку своему выступлению и выступлению оппонентов, ходу и результатам дискуссии.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дискуссия не состоялась. Отдельные реплики отдельных выступающих.  Команда не сложилась.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дискуссии не дали объективную оценку своему выступлению и выступлению оппонентов, ходу и результатам дискуссии.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                                                     Зуева Н. </w:t>
      </w:r>
      <w:r>
        <w:rPr>
          <w:b/>
          <w:bCs/>
          <w:sz w:val="20"/>
          <w:szCs w:val="20"/>
        </w:rPr>
        <w:t>Ю.</w:t>
      </w:r>
    </w:p>
    <w:p>
      <w:pPr>
        <w:pStyle w:val="Normal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56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3056a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3056a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1d668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056a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3056a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horttext" w:customStyle="1">
    <w:name w:val="short_text"/>
    <w:qFormat/>
    <w:rsid w:val="003056ab"/>
    <w:rPr>
      <w:rFonts w:cs="Times New Roman"/>
    </w:rPr>
  </w:style>
  <w:style w:type="character" w:styleId="-">
    <w:name w:val="Hyperlink"/>
    <w:uiPriority w:val="99"/>
    <w:rsid w:val="003056ab"/>
    <w:rPr>
      <w:color w:val="0000FF"/>
      <w:u w:val="single"/>
    </w:rPr>
  </w:style>
  <w:style w:type="character" w:styleId="Style11" w:customStyle="1">
    <w:name w:val="Абзац списка Знак"/>
    <w:link w:val="12"/>
    <w:uiPriority w:val="34"/>
    <w:qFormat/>
    <w:locked/>
    <w:rsid w:val="003056ab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3056ab"/>
    <w:rPr>
      <w:b/>
      <w:bCs/>
    </w:rPr>
  </w:style>
  <w:style w:type="character" w:styleId="Normaltextrun" w:customStyle="1">
    <w:name w:val="normaltextrun"/>
    <w:basedOn w:val="DefaultParagraphFont"/>
    <w:qFormat/>
    <w:rsid w:val="00ea7309"/>
    <w:rPr/>
  </w:style>
  <w:style w:type="character" w:styleId="Style12">
    <w:name w:val="FollowedHyperlink"/>
    <w:basedOn w:val="DefaultParagraphFont"/>
    <w:uiPriority w:val="99"/>
    <w:semiHidden/>
    <w:unhideWhenUsed/>
    <w:rsid w:val="00f90ea3"/>
    <w:rPr>
      <w:color w:val="800080" w:themeColor="followedHyperlink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1d668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bc512c"/>
    <w:rPr>
      <w:color w:val="808080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f16f2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2" w:customStyle="1">
    <w:name w:val="Абзац списка1"/>
    <w:basedOn w:val="Normal"/>
    <w:link w:val="Style11"/>
    <w:uiPriority w:val="34"/>
    <w:qFormat/>
    <w:rsid w:val="003056a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3" w:customStyle="1">
    <w:name w:val="Обычный1"/>
    <w:uiPriority w:val="99"/>
    <w:qFormat/>
    <w:rsid w:val="003056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unhideWhenUsed/>
    <w:qFormat/>
    <w:rsid w:val="003056ab"/>
    <w:pPr>
      <w:spacing w:beforeAutospacing="1" w:afterAutospacing="1"/>
    </w:pPr>
    <w:rPr/>
  </w:style>
  <w:style w:type="paragraph" w:styleId="NoSpacing">
    <w:name w:val="No Spacing"/>
    <w:uiPriority w:val="1"/>
    <w:qFormat/>
    <w:rsid w:val="003056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f16f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 w:val="false"/>
      <w:ind w:left="1341" w:hanging="286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e654d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iver.kaznu.kz/Content/instructions/&#1040;&#1082;&#1072;&#1076;&#1077;&#1084;&#1080;&#1095;&#1077;&#1089;&#1082;&#1072;&#1103; &#1087;&#1086;&#1083;&#1080;&#1090;&#1080;&#1082;&#1072;.pdf" TargetMode="External"/><Relationship Id="rId3" Type="http://schemas.openxmlformats.org/officeDocument/2006/relationships/hyperlink" Target="https://univer.kaznu.kz/Content/instructions/&#1055;&#1086;&#1083;&#1080;&#1090;&#1080;&#1082;&#1072; &#1072;&#1082;&#1072;&#1076;&#1077;&#1084;&#1080;&#1095;&#1077;&#1089;&#1082;&#1086;&#1081; &#1095;&#1077;&#1089;&#1090;&#1085;&#1086;&#1089;&#1090;&#1080;.pdf" TargetMode="External"/><Relationship Id="rId4" Type="http://schemas.openxmlformats.org/officeDocument/2006/relationships/hyperlink" Target="https://univer.kaznu.kz/Content/instructions/&#1055;&#1088;&#1072;&#1074;&#1080;&#1083;&#1072; &#1087;&#1088;&#1086;&#1074;&#1077;&#1076;&#1077;&#1085;&#1080;&#1103; &#1080;&#1090;&#1086;&#1075;&#1086;&#1074;&#1086;&#1075;&#1086; &#1082;&#1086;&#1085;&#1090;&#1088;&#1086;&#1083;&#1103; &#1051;&#1069;&#1057; 2022-2023 &#1091;&#1095;&#1075;&#1086;&#1076; &#1088;&#1091;&#1089;&#1103;&#1079;&#1099;&#1082;&#1077;.pdf" TargetMode="External"/><Relationship Id="rId5" Type="http://schemas.openxmlformats.org/officeDocument/2006/relationships/hyperlink" Target="https://univer.kaznu.kz/Content/instructions/&#1048;&#1085;&#1089;&#1090;&#1088;&#1091;&#1082;&#1094;&#1080;&#1103; &#1076;&#1083;&#1103; &#1080;&#1090;&#1086;&#1075;&#1086;&#1074;&#1086;&#1075;&#1086; &#1082;&#1086;&#1085;&#1090;&#1088;&#1086;&#1083;&#1103; &#1074;&#1077;&#1089;&#1077;&#1085;&#1085;&#1077;&#1075;&#1086; &#1089;&#1077;&#1084;&#1077;&#1089;&#1090;&#1088;&#1072; 2022-2023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B8BE7-C905-44B0-AFA8-C27720F1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LibreOffice/7.5.9.2$MacOSX_X86_64 LibreOffice_project/cdeefe45c17511d326101eed8008ac4092f278a9</Application>
  <AppVersion>15.0000</AppVersion>
  <Pages>8</Pages>
  <Words>3719</Words>
  <Characters>25938</Characters>
  <CharactersWithSpaces>29664</CharactersWithSpaces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2023-06-30T12:03:00Z</dcterms:created>
  <dc:creator>Елена</dc:creator>
  <dc:description/>
  <dc:language>ru-RU</dc:language>
  <cp:lastModifiedBy/>
  <dcterms:modified xsi:type="dcterms:W3CDTF">2024-01-17T22:37:26Z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